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E2137" w:rsidRPr="00611C49">
        <w:rPr>
          <w:rFonts w:asciiTheme="minorHAnsi" w:hAnsiTheme="minorHAnsi"/>
          <w:b/>
          <w:noProof/>
          <w:sz w:val="28"/>
          <w:szCs w:val="28"/>
        </w:rPr>
        <w:t>10</w:t>
      </w:r>
      <w:r w:rsidR="00C52ED1">
        <w:rPr>
          <w:rFonts w:asciiTheme="minorHAnsi" w:hAnsiTheme="minorHAnsi"/>
          <w:b/>
          <w:noProof/>
          <w:sz w:val="28"/>
          <w:szCs w:val="28"/>
        </w:rPr>
        <w:t xml:space="preserve"> Μαΐου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E2137" w:rsidRPr="00611C49"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ΘΕΜΑ : “80 νέοι υπάλληλοι στο Δήμο Κω στο δεύτερο κύμα του προγράμματος κοινωφελούς εργασίας.</w:t>
      </w:r>
      <w:r w:rsidR="00611C49" w:rsidRPr="00611C49">
        <w:rPr>
          <w:rFonts w:ascii="Calibri" w:eastAsia="Arial" w:hAnsi="Calibri" w:cs="Calibri"/>
          <w:sz w:val="28"/>
          <w:szCs w:val="28"/>
        </w:rPr>
        <w:t>”</w:t>
      </w:r>
    </w:p>
    <w:p w:rsidR="004E2137" w:rsidRPr="004E2137" w:rsidRDefault="004E2137" w:rsidP="004E2137">
      <w:pPr>
        <w:spacing w:after="200" w:line="276" w:lineRule="auto"/>
        <w:jc w:val="both"/>
        <w:rPr>
          <w:rFonts w:ascii="Calibri" w:eastAsia="Arial" w:hAnsi="Calibri" w:cs="Calibri"/>
          <w:sz w:val="28"/>
          <w:szCs w:val="28"/>
        </w:rPr>
      </w:pP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Με 80 νέους υπαλλήλους μέσω του δεύτερου κύκλου του προγράμματος κοινωφελούς εργασίας 2019-2020 θα ενισχυθεί ο Δήμος Κω.</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Σύμφωνα με το σχεδιασμό της δημοτικής αρχής και την πρόταση του Δήμου που υποβλήθηκε ηλεκτρονικά την Τετάρτη 8 Μαΐου 2019, οι νέοι υπάλληλοι θα απασχοληθούν σε όλες τις υπηρεσίες του Δήμου, σε σχολεία και στον ΔΟΠΑΒΣ.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Πιο συγκεκριμένα οι 80 θέσεις κατανέμονται ανά ειδικότητα και αντικείμενο απασχόλησης ως εξής: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-8 ΔΕ διοικητικού/ διοικητικού λογιστικού / λογιστικής / οικονομικού για γραμματειακή υποστήριξη υπηρεσιών και διευθύνσεων του Δήμου</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-2 ΤΕ Βιβλιοθηκονόμων για δημοτικές βιβλιοθήκες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-25 ΥΕ βοηθητικών εργασιών καθαριότητας για τον καθαρισμό οδών, αλσών, παραλιών και άλλων κοινόχρηστων χώρων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-6 ΥΕ βοηθητικών εργασιών καθαριότητας για τον καθαρισμό εσωτερικών χώρων και δημοτικών κτιρίων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-1 ΤΕ πληροφορικής για την υποστήριξη υπηρεσιών πληροφορικής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-16 ΥΕ εργατών πρασίνου για εργασίες συντήρησης και αναβάθμισης πρασίνου</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-2 ΤΕ βρεφονηπιοκόμων και 3 ΔΕ βοηθών βρεφονηπιοκόμων/κοινωνικών επιμελητών για τους παιδικούς και βρεφονηπιακούς σταθμούς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lastRenderedPageBreak/>
        <w:t>-2 ΔΕ οδηγών (με άδεια οδήγησης Γ κατηγορίας) για την υπηρεσία Πρασίνου</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-15 ΔΕ γενικών καθηκόντων σχολείων για την υποστήριξη σχολικών μονάδων.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Το πρόγραμμα απευθύνεται κυρίως σε μακροχρόνια ανέργους και οι θέσεις που ζητούνται αντιστοιχούν σε συγκεκριμένα έργα που θα έχουν μετρήσιμα αποτελέσματα όσον αφορά στη βελτίωση της καθημερινής ζωής των πολιτών.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Τα έργα αυτά περιλαμβάνουν -μεταξύ άλλων- δράσεις: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-βελτίωσης των παρεχόμενων υπηρεσιών προς τους κατοίκους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-αναβάθμισης και συντήρησης μικρών υποδομών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-αναβάθμισης λειτουργίας υπηρεσιών</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-αναβάθμισης και προστασίας του περιβάλλοντος.</w:t>
      </w:r>
    </w:p>
    <w:p w:rsidR="004E2137" w:rsidRPr="004E2137" w:rsidRDefault="004E2137" w:rsidP="004E2137">
      <w:pPr>
        <w:spacing w:after="200" w:line="276" w:lineRule="auto"/>
        <w:jc w:val="both"/>
        <w:rPr>
          <w:rFonts w:ascii="Calibri" w:eastAsia="Arial" w:hAnsi="Calibri" w:cs="Calibri"/>
          <w:sz w:val="28"/>
          <w:szCs w:val="28"/>
        </w:rPr>
      </w:pPr>
      <w:r w:rsidRPr="004E2137">
        <w:rPr>
          <w:rFonts w:ascii="Calibri" w:eastAsia="Arial" w:hAnsi="Calibri" w:cs="Calibri"/>
          <w:sz w:val="28"/>
          <w:szCs w:val="28"/>
        </w:rPr>
        <w:t>Η προθεσμία της ηλεκτρονικής υποβολής των αιτήσεων από τους ενδιαφερόμενους θα καθοριστεί από τη Γενική Γραμματεία Διαχείρισης Κοινοτικών και Άλλων Πόρων του Υπουργείου Εργασίας, Κοινωνικής Ασφάλισης και Κοινωνικής Αλληλεγγύης.</w:t>
      </w:r>
    </w:p>
    <w:p w:rsidR="004E2137" w:rsidRPr="004E2137" w:rsidRDefault="004E2137" w:rsidP="004E2137">
      <w:pPr>
        <w:spacing w:after="200" w:line="276" w:lineRule="auto"/>
        <w:jc w:val="both"/>
        <w:rPr>
          <w:rFonts w:ascii="Calibri" w:eastAsia="Arial" w:hAnsi="Calibri" w:cs="Calibri"/>
          <w:b/>
          <w:sz w:val="28"/>
          <w:szCs w:val="28"/>
        </w:rPr>
      </w:pPr>
      <w:r w:rsidRPr="004E2137">
        <w:rPr>
          <w:rFonts w:ascii="Calibri" w:eastAsia="Arial" w:hAnsi="Calibri" w:cs="Calibri"/>
          <w:b/>
          <w:sz w:val="28"/>
          <w:szCs w:val="28"/>
        </w:rPr>
        <w:t>Το επόμενο διάστημα αναμένεται να ανακοινωθούν από τον ΟΑΕΔ τα οριστικά αποτελέσματα του προηγούμενου προγράμματος κοινωφελούς εργασίας, σύμφωνα με τα οποία αναμένεται να καλυφθούν οι 74 θέσεις από τις 80 του Δήμου Κω.</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E1" w:rsidRDefault="00DF11E1" w:rsidP="0034192E">
      <w:r>
        <w:separator/>
      </w:r>
    </w:p>
  </w:endnote>
  <w:endnote w:type="continuationSeparator" w:id="0">
    <w:p w:rsidR="00DF11E1" w:rsidRDefault="00DF11E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E1" w:rsidRDefault="00DF11E1" w:rsidP="0034192E">
      <w:r>
        <w:separator/>
      </w:r>
    </w:p>
  </w:footnote>
  <w:footnote w:type="continuationSeparator" w:id="0">
    <w:p w:rsidR="00DF11E1" w:rsidRDefault="00DF11E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4E2137"/>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11C49"/>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1E1"/>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6C1A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E9A4A5-B591-455A-B5AB-029176036236}"/>
</file>

<file path=customXml/itemProps2.xml><?xml version="1.0" encoding="utf-8"?>
<ds:datastoreItem xmlns:ds="http://schemas.openxmlformats.org/officeDocument/2006/customXml" ds:itemID="{1589A4E8-CCD0-4CF3-B58F-71FA0440908D}"/>
</file>

<file path=customXml/itemProps3.xml><?xml version="1.0" encoding="utf-8"?>
<ds:datastoreItem xmlns:ds="http://schemas.openxmlformats.org/officeDocument/2006/customXml" ds:itemID="{89C00B33-1F5F-45C7-B194-84027164337C}"/>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2019-05-10T10:46:00Z</dcterms:created>
  <dcterms:modified xsi:type="dcterms:W3CDTF">2019-05-10T10:49:00Z</dcterms:modified>
</cp:coreProperties>
</file>